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B6B" w:rsidRPr="00A86D36" w:rsidRDefault="00027B6B" w:rsidP="00A86D36">
      <w:pPr>
        <w:spacing w:line="480" w:lineRule="auto"/>
        <w:rPr>
          <w:rFonts w:ascii="Times New Roman" w:hAnsi="Times New Roman" w:cs="Times New Roman"/>
          <w:sz w:val="24"/>
          <w:szCs w:val="24"/>
        </w:rPr>
      </w:pPr>
    </w:p>
    <w:p w:rsidR="00027B6B" w:rsidRPr="00A86D36" w:rsidRDefault="00027B6B" w:rsidP="00A86D36">
      <w:pPr>
        <w:spacing w:line="480" w:lineRule="auto"/>
        <w:rPr>
          <w:rFonts w:ascii="Times New Roman" w:hAnsi="Times New Roman" w:cs="Times New Roman"/>
          <w:sz w:val="24"/>
          <w:szCs w:val="24"/>
        </w:rPr>
      </w:pPr>
    </w:p>
    <w:p w:rsidR="00027B6B" w:rsidRPr="00A86D36" w:rsidRDefault="00027B6B" w:rsidP="00A86D36">
      <w:pPr>
        <w:spacing w:line="480" w:lineRule="auto"/>
        <w:rPr>
          <w:rFonts w:ascii="Times New Roman" w:hAnsi="Times New Roman" w:cs="Times New Roman"/>
          <w:sz w:val="24"/>
          <w:szCs w:val="24"/>
        </w:rPr>
      </w:pPr>
    </w:p>
    <w:p w:rsidR="00027B6B" w:rsidRPr="00A86D36" w:rsidRDefault="00027B6B" w:rsidP="00A86D36">
      <w:pPr>
        <w:spacing w:line="480" w:lineRule="auto"/>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p>
    <w:p w:rsidR="00A86D36" w:rsidRPr="00A86D36" w:rsidRDefault="00A86D36"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t>National Federation of Independent Business et.al. v. Sebelius</w:t>
      </w:r>
    </w:p>
    <w:p w:rsidR="00027B6B" w:rsidRPr="00A86D36" w:rsidRDefault="00A86D36"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t>Name</w:t>
      </w:r>
    </w:p>
    <w:p w:rsidR="00A86D36" w:rsidRPr="00A86D36" w:rsidRDefault="00A86D36"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t>Institution</w:t>
      </w:r>
    </w:p>
    <w:p w:rsidR="00A86D36" w:rsidRPr="00A86D36" w:rsidRDefault="00A86D36"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t>Date</w:t>
      </w:r>
    </w:p>
    <w:p w:rsidR="00A86D36" w:rsidRPr="00A86D36" w:rsidRDefault="00A86D36" w:rsidP="00A86D36">
      <w:pPr>
        <w:spacing w:line="480" w:lineRule="auto"/>
        <w:rPr>
          <w:rFonts w:ascii="Times New Roman" w:hAnsi="Times New Roman" w:cs="Times New Roman"/>
          <w:sz w:val="24"/>
          <w:szCs w:val="24"/>
        </w:rPr>
      </w:pPr>
    </w:p>
    <w:p w:rsidR="00027B6B" w:rsidRPr="00A86D36" w:rsidRDefault="00027B6B" w:rsidP="00A86D36">
      <w:pPr>
        <w:spacing w:line="480" w:lineRule="auto"/>
        <w:rPr>
          <w:rFonts w:ascii="Times New Roman" w:hAnsi="Times New Roman" w:cs="Times New Roman"/>
          <w:sz w:val="24"/>
          <w:szCs w:val="24"/>
        </w:rPr>
      </w:pPr>
    </w:p>
    <w:p w:rsidR="00A86D36" w:rsidRDefault="00A86D36" w:rsidP="00A86D36">
      <w:pPr>
        <w:spacing w:line="480" w:lineRule="auto"/>
        <w:jc w:val="center"/>
        <w:rPr>
          <w:rFonts w:ascii="Times New Roman" w:hAnsi="Times New Roman" w:cs="Times New Roman"/>
          <w:sz w:val="24"/>
          <w:szCs w:val="24"/>
        </w:rPr>
      </w:pPr>
    </w:p>
    <w:p w:rsidR="008D106D" w:rsidRPr="00A86D36" w:rsidRDefault="008D106D"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lastRenderedPageBreak/>
        <w:t>National Federation of Independent Business et.al. v. Sebelius</w:t>
      </w:r>
    </w:p>
    <w:p w:rsidR="008D106D" w:rsidRPr="00A86D36" w:rsidRDefault="008D106D" w:rsidP="00A86D36">
      <w:pPr>
        <w:spacing w:line="480" w:lineRule="auto"/>
        <w:ind w:firstLine="720"/>
        <w:rPr>
          <w:rFonts w:ascii="Times New Roman" w:hAnsi="Times New Roman" w:cs="Times New Roman"/>
          <w:sz w:val="24"/>
          <w:szCs w:val="24"/>
        </w:rPr>
      </w:pPr>
      <w:r w:rsidRPr="00A86D36">
        <w:rPr>
          <w:rFonts w:ascii="Times New Roman" w:hAnsi="Times New Roman" w:cs="Times New Roman"/>
          <w:sz w:val="24"/>
          <w:szCs w:val="24"/>
        </w:rPr>
        <w:t xml:space="preserve">National Federation of Independent Business et.al. v. Sebelius was a law case filed by the </w:t>
      </w:r>
      <w:r w:rsidR="00933F7B">
        <w:rPr>
          <w:rFonts w:ascii="Times New Roman" w:hAnsi="Times New Roman" w:cs="Times New Roman"/>
          <w:sz w:val="24"/>
          <w:szCs w:val="24"/>
        </w:rPr>
        <w:t>National Federation of Independent B</w:t>
      </w:r>
      <w:r w:rsidRPr="00A86D36">
        <w:rPr>
          <w:rFonts w:ascii="Times New Roman" w:hAnsi="Times New Roman" w:cs="Times New Roman"/>
          <w:sz w:val="24"/>
          <w:szCs w:val="24"/>
        </w:rPr>
        <w:t>usinesses against Kathleen Sebelius, who was the secretary of the United States Department of Health and Human Services. The case followed the ascending of the Patient Protection and Affordable Care Act into law. The Patient Protection and Affordable Care Act was enacted because there was a claim that the majority of the American citizens were receiving healthcare benefits, yet they did not possess any health insurance coverage (Sircy, 2018). Some of the provisions of the Affordable Care Act included a requirement for employers obtain health coverage for their workers, a tax penalty for citizens who did not heed to the governments call of buying and maintaining minimum health insurance and states had to adhere to the expanded Medicaid for them to be legible to receive funds from the federal government.</w:t>
      </w:r>
    </w:p>
    <w:p w:rsidR="008D106D" w:rsidRPr="00A86D36" w:rsidRDefault="008D106D" w:rsidP="00A86D36">
      <w:pPr>
        <w:spacing w:line="480" w:lineRule="auto"/>
        <w:ind w:firstLine="720"/>
        <w:rPr>
          <w:rFonts w:ascii="Times New Roman" w:hAnsi="Times New Roman" w:cs="Times New Roman"/>
          <w:sz w:val="24"/>
          <w:szCs w:val="24"/>
        </w:rPr>
      </w:pPr>
      <w:r w:rsidRPr="00A86D36">
        <w:rPr>
          <w:rFonts w:ascii="Times New Roman" w:hAnsi="Times New Roman" w:cs="Times New Roman"/>
          <w:sz w:val="24"/>
          <w:szCs w:val="24"/>
        </w:rPr>
        <w:t>After Congress passed the Act, the</w:t>
      </w:r>
      <w:r w:rsidR="00027B6B" w:rsidRPr="00A86D36">
        <w:rPr>
          <w:rFonts w:ascii="Times New Roman" w:hAnsi="Times New Roman" w:cs="Times New Roman"/>
          <w:sz w:val="24"/>
          <w:szCs w:val="24"/>
        </w:rPr>
        <w:t>re</w:t>
      </w:r>
      <w:r w:rsidRPr="00A86D36">
        <w:rPr>
          <w:rFonts w:ascii="Times New Roman" w:hAnsi="Times New Roman" w:cs="Times New Roman"/>
          <w:sz w:val="24"/>
          <w:szCs w:val="24"/>
        </w:rPr>
        <w:t xml:space="preserve"> was mass action in Florida by individuals and some states who demanded the Patient Protection and Affordable Care Act to be declared a violation of the constitution. The individuals </w:t>
      </w:r>
      <w:r w:rsidR="00933F7B">
        <w:rPr>
          <w:rFonts w:ascii="Times New Roman" w:hAnsi="Times New Roman" w:cs="Times New Roman"/>
          <w:sz w:val="24"/>
          <w:szCs w:val="24"/>
        </w:rPr>
        <w:t>and the national federation of Independent B</w:t>
      </w:r>
      <w:r w:rsidRPr="00A86D36">
        <w:rPr>
          <w:rFonts w:ascii="Times New Roman" w:hAnsi="Times New Roman" w:cs="Times New Roman"/>
          <w:sz w:val="24"/>
          <w:szCs w:val="24"/>
        </w:rPr>
        <w:t>usinesses laid their claims on the ground that employers obtaining health coverage for their workers was an interference with the sovereignty of the states, and the provision to expand Medicaid was not provided for in the constitution (McCauley, 2017). Additionally, the protesters claimed that the decision to have penalties for individuals who did obtain and keep minimum health coverage exceeded the powers of the Congress provided for in the Commerce Clause. The state of Florida sought justice against the law in the District court. Roger Vinson, the judge of the District Court, held that the individual mandate that required individuals who did not obtain a health cover to pay a tax penalty was beyond the capacity of the Congress.</w:t>
      </w:r>
    </w:p>
    <w:p w:rsidR="008D106D" w:rsidRPr="00A86D36" w:rsidRDefault="008D106D" w:rsidP="00A86D36">
      <w:pPr>
        <w:spacing w:line="480" w:lineRule="auto"/>
        <w:ind w:firstLine="720"/>
        <w:rPr>
          <w:rFonts w:ascii="Times New Roman" w:hAnsi="Times New Roman" w:cs="Times New Roman"/>
          <w:sz w:val="24"/>
          <w:szCs w:val="24"/>
        </w:rPr>
      </w:pPr>
      <w:r w:rsidRPr="00A86D36">
        <w:rPr>
          <w:rFonts w:ascii="Times New Roman" w:hAnsi="Times New Roman" w:cs="Times New Roman"/>
          <w:sz w:val="24"/>
          <w:szCs w:val="24"/>
        </w:rPr>
        <w:lastRenderedPageBreak/>
        <w:t>The District Court also withdrew the provision that required employers to obtain insurance covers for their workers, but it upheld the decision by the federal government to expand Medicaid, citing a lack of legal support that it was a violation of the constitution. The United States Department of Health and Human Services appealed the decision by the District Court to the Eleventh Court of Appeals. Betti (2019), states that the judges from the Court of Appeals held that the individual mandate of paying tax penalty was not meant to serve the Anti-Injunction Act; instead, it was a tax by the requirements of the Constitution's Taxing and Spending Clause, and it was to be collected by the Internal Revenue Service through legal means. The Court of Appeals ruling also held that the Congress did not have the power of controlling commercial activities, and stated that Congress did not possess the power to withhold federal funds for Medicaid, in the case states did not comply with the expansion plan (Wierenga, 2017).</w:t>
      </w:r>
    </w:p>
    <w:p w:rsidR="008D106D" w:rsidRPr="00A86D36" w:rsidRDefault="008D106D" w:rsidP="00A86D36">
      <w:pPr>
        <w:spacing w:line="480" w:lineRule="auto"/>
        <w:ind w:firstLine="720"/>
        <w:rPr>
          <w:rFonts w:ascii="Times New Roman" w:hAnsi="Times New Roman" w:cs="Times New Roman"/>
          <w:sz w:val="24"/>
          <w:szCs w:val="24"/>
        </w:rPr>
      </w:pPr>
      <w:r w:rsidRPr="00A86D36">
        <w:rPr>
          <w:rFonts w:ascii="Times New Roman" w:hAnsi="Times New Roman" w:cs="Times New Roman"/>
          <w:sz w:val="24"/>
          <w:szCs w:val="24"/>
        </w:rPr>
        <w:t xml:space="preserve">The judges from the Eleventh Court of Appeals partly agreed with the ruling of Roger Vinson from the District Courts and partly went against his ruling. The government filed a petition seeking the Supreme Court to revisit the rulings of the Eleventh Circuit Court of Appeals. In its ruling, the Supreme Court allowed the Patient Protection and Affordable Care Act, and this meant that the government won the case (Banks, 2017). The chief justice concluded that the tax that was to be paid by individuals who failed to obtain health cover was constitutional, and the tax together with income taxes was to be remitted to the Internal Revenue Service. In a divided ruling, the Supreme Court held that the threat of losing Medicaid funds for states which did not agree with the expansion plan of the Medicaid was unconstitutional. </w:t>
      </w:r>
    </w:p>
    <w:p w:rsidR="008D106D" w:rsidRPr="00A86D36" w:rsidRDefault="008D106D" w:rsidP="00A86D36">
      <w:pPr>
        <w:spacing w:line="480" w:lineRule="auto"/>
        <w:ind w:firstLine="720"/>
        <w:rPr>
          <w:rFonts w:ascii="Times New Roman" w:hAnsi="Times New Roman" w:cs="Times New Roman"/>
          <w:sz w:val="24"/>
          <w:szCs w:val="24"/>
        </w:rPr>
      </w:pPr>
      <w:r w:rsidRPr="00A86D36">
        <w:rPr>
          <w:rFonts w:ascii="Times New Roman" w:hAnsi="Times New Roman" w:cs="Times New Roman"/>
          <w:sz w:val="24"/>
          <w:szCs w:val="24"/>
        </w:rPr>
        <w:t xml:space="preserve">Negative consequences as a result of the ruling include that the Medicaid cover does not cover adults who do not have children, and this is a disadvantage to them because they remit </w:t>
      </w:r>
      <w:r w:rsidRPr="00A86D36">
        <w:rPr>
          <w:rFonts w:ascii="Times New Roman" w:hAnsi="Times New Roman" w:cs="Times New Roman"/>
          <w:sz w:val="24"/>
          <w:szCs w:val="24"/>
        </w:rPr>
        <w:lastRenderedPageBreak/>
        <w:t xml:space="preserve">taxes to the government hence should be entitled to state services. The Medicaid cover protects adults with children whose income is considerably lower, meaning that it does not entirely cover all the poor people; this implies that some poor persons struggle to access affordable healthcare services. Dorocak (2017), notes that the paying of the tax penalty for those who failed to obtain and maintain health insurance was an extra burden because the fact that they did not possess insurance covers was an indication that they were financially unstable. The implementation of Medicaid meant that healthcare organizations would experience higher numbers of patients, which might </w:t>
      </w:r>
      <w:r w:rsidR="00027B6B" w:rsidRPr="00A86D36">
        <w:rPr>
          <w:rFonts w:ascii="Times New Roman" w:hAnsi="Times New Roman" w:cs="Times New Roman"/>
          <w:sz w:val="24"/>
          <w:szCs w:val="24"/>
        </w:rPr>
        <w:t xml:space="preserve">have </w:t>
      </w:r>
      <w:r w:rsidRPr="00A86D36">
        <w:rPr>
          <w:rFonts w:ascii="Times New Roman" w:hAnsi="Times New Roman" w:cs="Times New Roman"/>
          <w:sz w:val="24"/>
          <w:szCs w:val="24"/>
        </w:rPr>
        <w:t>result</w:t>
      </w:r>
      <w:r w:rsidR="00027B6B" w:rsidRPr="00A86D36">
        <w:rPr>
          <w:rFonts w:ascii="Times New Roman" w:hAnsi="Times New Roman" w:cs="Times New Roman"/>
          <w:sz w:val="24"/>
          <w:szCs w:val="24"/>
        </w:rPr>
        <w:t>ed</w:t>
      </w:r>
      <w:r w:rsidRPr="00A86D36">
        <w:rPr>
          <w:rFonts w:ascii="Times New Roman" w:hAnsi="Times New Roman" w:cs="Times New Roman"/>
          <w:sz w:val="24"/>
          <w:szCs w:val="24"/>
        </w:rPr>
        <w:t xml:space="preserve"> to pressure on limited available resources like human resources. </w:t>
      </w: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A86D36" w:rsidRDefault="00A86D36" w:rsidP="00A86D36">
      <w:pPr>
        <w:spacing w:line="480" w:lineRule="auto"/>
        <w:rPr>
          <w:rFonts w:ascii="Times New Roman" w:hAnsi="Times New Roman" w:cs="Times New Roman"/>
          <w:sz w:val="24"/>
          <w:szCs w:val="24"/>
        </w:rPr>
      </w:pPr>
    </w:p>
    <w:p w:rsidR="008D106D" w:rsidRPr="00A86D36" w:rsidRDefault="008D106D" w:rsidP="00A86D36">
      <w:pPr>
        <w:spacing w:line="480" w:lineRule="auto"/>
        <w:jc w:val="center"/>
        <w:rPr>
          <w:rFonts w:ascii="Times New Roman" w:hAnsi="Times New Roman" w:cs="Times New Roman"/>
          <w:sz w:val="24"/>
          <w:szCs w:val="24"/>
        </w:rPr>
      </w:pPr>
      <w:r w:rsidRPr="00A86D36">
        <w:rPr>
          <w:rFonts w:ascii="Times New Roman" w:hAnsi="Times New Roman" w:cs="Times New Roman"/>
          <w:sz w:val="24"/>
          <w:szCs w:val="24"/>
        </w:rPr>
        <w:lastRenderedPageBreak/>
        <w:t>References</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Banks, C. P. (2017). Of White Whales, Obamacare, and the Roberts Court: The Republican Attempts to Harpoon Obama's Presidential Legacy. PS: Political Science &amp; Politics.</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Berdine, G. (2019). Federal Court in Texas rules Affordable Care Act unconstitutional. The Southwest Respiratory and Critical Care Chronicles.</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Betti, D. (2019). The Saving Construction Sinks the Supreme Court: NFIB v. Sebelius and the Catastrophe of Justice Roberts's Opinion. Sebelius and the Catastrophe of Justice Roberts's Opinion (April 19, 2019).</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Dorocak, J. (2017). Tax Constitutional Questions in Obamacare Continued: NFIB v. Sebelius in Light of Citizens United v. FEC, Speiser v. Randall, Windsor v. the United States, Lawrence v. Texas, et al. U. St. Thomas JL &amp; Pub. Pol'y.</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McCauley, S. (2017). Revising the Marks Rule in Light of a Plurality Prone Supreme Court: A Case Study of National Federation of Independent Businesses v. Sebelius. BU Pub. Int. LJ.</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Sircy, M. (2018). Nursing Home Administrators' Perceived Knowledge of the Affordable Care Act (PPACA).</w:t>
      </w:r>
    </w:p>
    <w:p w:rsidR="008D106D" w:rsidRPr="00A86D36" w:rsidRDefault="008D106D" w:rsidP="00A86D36">
      <w:pPr>
        <w:spacing w:line="480" w:lineRule="auto"/>
        <w:ind w:left="720" w:hanging="720"/>
        <w:rPr>
          <w:rFonts w:ascii="Times New Roman" w:hAnsi="Times New Roman" w:cs="Times New Roman"/>
          <w:sz w:val="24"/>
          <w:szCs w:val="24"/>
        </w:rPr>
      </w:pPr>
      <w:r w:rsidRPr="00A86D36">
        <w:rPr>
          <w:rFonts w:ascii="Times New Roman" w:hAnsi="Times New Roman" w:cs="Times New Roman"/>
          <w:sz w:val="24"/>
          <w:szCs w:val="24"/>
        </w:rPr>
        <w:t>Wierenga, B. J. (2017). The Label Test: Simplifying the Tax Injunction Act after NFIB v. Sebelius. U. Chi. L., Rev.</w:t>
      </w:r>
      <w:bookmarkStart w:id="0" w:name="_GoBack"/>
      <w:bookmarkEnd w:id="0"/>
    </w:p>
    <w:sectPr w:rsidR="008D106D" w:rsidRPr="00A86D36" w:rsidSect="009A64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BE2" w:rsidRDefault="002D6BE2" w:rsidP="00027B6B">
      <w:pPr>
        <w:spacing w:after="0" w:line="240" w:lineRule="auto"/>
      </w:pPr>
      <w:r>
        <w:separator/>
      </w:r>
    </w:p>
  </w:endnote>
  <w:endnote w:type="continuationSeparator" w:id="1">
    <w:p w:rsidR="002D6BE2" w:rsidRDefault="002D6BE2" w:rsidP="00027B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BE2" w:rsidRDefault="002D6BE2" w:rsidP="00027B6B">
      <w:pPr>
        <w:spacing w:after="0" w:line="240" w:lineRule="auto"/>
      </w:pPr>
      <w:r>
        <w:separator/>
      </w:r>
    </w:p>
  </w:footnote>
  <w:footnote w:type="continuationSeparator" w:id="1">
    <w:p w:rsidR="002D6BE2" w:rsidRDefault="002D6BE2" w:rsidP="00027B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6B" w:rsidRPr="00A86D36" w:rsidRDefault="00A86D36">
    <w:pPr>
      <w:pStyle w:val="Header"/>
      <w:rPr>
        <w:rFonts w:ascii="Times New Roman" w:hAnsi="Times New Roman" w:cs="Times New Roman"/>
        <w:sz w:val="24"/>
        <w:szCs w:val="24"/>
      </w:rPr>
    </w:pPr>
    <w:r w:rsidRPr="00A86D36">
      <w:rPr>
        <w:rFonts w:ascii="Times New Roman" w:hAnsi="Times New Roman" w:cs="Times New Roman"/>
        <w:sz w:val="24"/>
        <w:szCs w:val="24"/>
      </w:rPr>
      <w:t>NATIONAL FEDERATION OF INDEPENDENT BUSINESS ET.AL V. SEBELIUS</w:t>
    </w:r>
    <w:r w:rsidRPr="00A86D36">
      <w:rPr>
        <w:rFonts w:ascii="Times New Roman" w:hAnsi="Times New Roman" w:cs="Times New Roman"/>
        <w:sz w:val="24"/>
        <w:szCs w:val="24"/>
      </w:rPr>
      <w:tab/>
    </w:r>
    <w:r w:rsidR="00615460" w:rsidRPr="00A86D36">
      <w:rPr>
        <w:rFonts w:ascii="Times New Roman" w:hAnsi="Times New Roman" w:cs="Times New Roman"/>
        <w:sz w:val="24"/>
        <w:szCs w:val="24"/>
      </w:rPr>
      <w:fldChar w:fldCharType="begin"/>
    </w:r>
    <w:r w:rsidRPr="00A86D36">
      <w:rPr>
        <w:rFonts w:ascii="Times New Roman" w:hAnsi="Times New Roman" w:cs="Times New Roman"/>
        <w:sz w:val="24"/>
        <w:szCs w:val="24"/>
      </w:rPr>
      <w:instrText xml:space="preserve"> PAGE   \* MERGEFORMAT </w:instrText>
    </w:r>
    <w:r w:rsidR="00615460" w:rsidRPr="00A86D36">
      <w:rPr>
        <w:rFonts w:ascii="Times New Roman" w:hAnsi="Times New Roman" w:cs="Times New Roman"/>
        <w:sz w:val="24"/>
        <w:szCs w:val="24"/>
      </w:rPr>
      <w:fldChar w:fldCharType="separate"/>
    </w:r>
    <w:r w:rsidR="00933F7B">
      <w:rPr>
        <w:rFonts w:ascii="Times New Roman" w:hAnsi="Times New Roman" w:cs="Times New Roman"/>
        <w:noProof/>
        <w:sz w:val="24"/>
        <w:szCs w:val="24"/>
      </w:rPr>
      <w:t>5</w:t>
    </w:r>
    <w:r w:rsidR="00615460" w:rsidRPr="00A86D36">
      <w:rPr>
        <w:rFonts w:ascii="Times New Roman" w:hAnsi="Times New Roman" w:cs="Times New Roman"/>
        <w:noProof/>
        <w:sz w:val="24"/>
        <w:szCs w:val="24"/>
      </w:rPr>
      <w:fldChar w:fldCharType="end"/>
    </w:r>
  </w:p>
  <w:p w:rsidR="00027B6B" w:rsidRDefault="00027B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6" w:rsidRPr="009A6486" w:rsidRDefault="009A6486">
    <w:pPr>
      <w:pStyle w:val="Header"/>
      <w:rPr>
        <w:rFonts w:ascii="Times New Roman" w:hAnsi="Times New Roman" w:cs="Times New Roman"/>
        <w:sz w:val="24"/>
        <w:szCs w:val="24"/>
      </w:rPr>
    </w:pPr>
    <w:r w:rsidRPr="009A6486">
      <w:rPr>
        <w:rFonts w:ascii="Times New Roman" w:hAnsi="Times New Roman" w:cs="Times New Roman"/>
        <w:sz w:val="24"/>
        <w:szCs w:val="24"/>
      </w:rPr>
      <w:t>Running head: NATIONAL FEDERATION OF INDEPEND</w:t>
    </w:r>
    <w:r>
      <w:rPr>
        <w:rFonts w:ascii="Times New Roman" w:hAnsi="Times New Roman" w:cs="Times New Roman"/>
        <w:sz w:val="24"/>
        <w:szCs w:val="24"/>
      </w:rPr>
      <w:t>ENT BUSINESS ET.AL. V. SEBELIUS</w:t>
    </w:r>
    <w:r>
      <w:rPr>
        <w:rFonts w:ascii="Times New Roman" w:hAnsi="Times New Roman" w:cs="Times New Roman"/>
        <w:sz w:val="24"/>
        <w:szCs w:val="24"/>
      </w:rPr>
      <w:tab/>
    </w:r>
    <w:r>
      <w:rPr>
        <w:rFonts w:ascii="Times New Roman" w:hAnsi="Times New Roman" w:cs="Times New Roman"/>
        <w:sz w:val="24"/>
        <w:szCs w:val="24"/>
      </w:rPr>
      <w:tab/>
    </w:r>
    <w:r w:rsidR="00615460" w:rsidRPr="009A6486">
      <w:rPr>
        <w:rFonts w:ascii="Times New Roman" w:hAnsi="Times New Roman" w:cs="Times New Roman"/>
        <w:sz w:val="24"/>
        <w:szCs w:val="24"/>
      </w:rPr>
      <w:fldChar w:fldCharType="begin"/>
    </w:r>
    <w:r w:rsidRPr="009A6486">
      <w:rPr>
        <w:rFonts w:ascii="Times New Roman" w:hAnsi="Times New Roman" w:cs="Times New Roman"/>
        <w:sz w:val="24"/>
        <w:szCs w:val="24"/>
      </w:rPr>
      <w:instrText xml:space="preserve"> PAGE   \* MERGEFORMAT </w:instrText>
    </w:r>
    <w:r w:rsidR="00615460" w:rsidRPr="009A6486">
      <w:rPr>
        <w:rFonts w:ascii="Times New Roman" w:hAnsi="Times New Roman" w:cs="Times New Roman"/>
        <w:sz w:val="24"/>
        <w:szCs w:val="24"/>
      </w:rPr>
      <w:fldChar w:fldCharType="separate"/>
    </w:r>
    <w:r w:rsidR="004742F7">
      <w:rPr>
        <w:rFonts w:ascii="Times New Roman" w:hAnsi="Times New Roman" w:cs="Times New Roman"/>
        <w:noProof/>
        <w:sz w:val="24"/>
        <w:szCs w:val="24"/>
      </w:rPr>
      <w:t>1</w:t>
    </w:r>
    <w:r w:rsidR="00615460" w:rsidRPr="009A6486">
      <w:rPr>
        <w:rFonts w:ascii="Times New Roman" w:hAnsi="Times New Roman" w:cs="Times New Roman"/>
        <w:noProof/>
        <w:sz w:val="24"/>
        <w:szCs w:val="24"/>
      </w:rPr>
      <w:fldChar w:fldCharType="end"/>
    </w:r>
  </w:p>
  <w:p w:rsidR="00027B6B" w:rsidRDefault="00027B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76C6"/>
    <w:rsid w:val="00027B6B"/>
    <w:rsid w:val="001C49E8"/>
    <w:rsid w:val="00243BD3"/>
    <w:rsid w:val="002D6BE2"/>
    <w:rsid w:val="002E6107"/>
    <w:rsid w:val="004376C6"/>
    <w:rsid w:val="004742F7"/>
    <w:rsid w:val="004B47D4"/>
    <w:rsid w:val="005B29CE"/>
    <w:rsid w:val="00615460"/>
    <w:rsid w:val="0067068C"/>
    <w:rsid w:val="00834FB8"/>
    <w:rsid w:val="00875176"/>
    <w:rsid w:val="008D106D"/>
    <w:rsid w:val="009057C2"/>
    <w:rsid w:val="00933F7B"/>
    <w:rsid w:val="0098558A"/>
    <w:rsid w:val="009A6486"/>
    <w:rsid w:val="00A86D36"/>
    <w:rsid w:val="00BD04A6"/>
    <w:rsid w:val="00CE29D0"/>
    <w:rsid w:val="00DC4F1E"/>
    <w:rsid w:val="00E818D6"/>
    <w:rsid w:val="00EF2356"/>
    <w:rsid w:val="00FD5B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4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B6B"/>
  </w:style>
  <w:style w:type="paragraph" w:styleId="Footer">
    <w:name w:val="footer"/>
    <w:basedOn w:val="Normal"/>
    <w:link w:val="FooterChar"/>
    <w:uiPriority w:val="99"/>
    <w:unhideWhenUsed/>
    <w:rsid w:val="00027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B6B"/>
  </w:style>
</w:styles>
</file>

<file path=word/webSettings.xml><?xml version="1.0" encoding="utf-8"?>
<w:webSettings xmlns:r="http://schemas.openxmlformats.org/officeDocument/2006/relationships" xmlns:w="http://schemas.openxmlformats.org/wordprocessingml/2006/main">
  <w:divs>
    <w:div w:id="94598534">
      <w:bodyDiv w:val="1"/>
      <w:marLeft w:val="0"/>
      <w:marRight w:val="0"/>
      <w:marTop w:val="0"/>
      <w:marBottom w:val="0"/>
      <w:divBdr>
        <w:top w:val="none" w:sz="0" w:space="0" w:color="auto"/>
        <w:left w:val="none" w:sz="0" w:space="0" w:color="auto"/>
        <w:bottom w:val="none" w:sz="0" w:space="0" w:color="auto"/>
        <w:right w:val="none" w:sz="0" w:space="0" w:color="auto"/>
      </w:divBdr>
      <w:divsChild>
        <w:div w:id="477577958">
          <w:marLeft w:val="0"/>
          <w:marRight w:val="0"/>
          <w:marTop w:val="0"/>
          <w:marBottom w:val="0"/>
          <w:divBdr>
            <w:top w:val="none" w:sz="0" w:space="0" w:color="auto"/>
            <w:left w:val="none" w:sz="0" w:space="0" w:color="auto"/>
            <w:bottom w:val="none" w:sz="0" w:space="0" w:color="auto"/>
            <w:right w:val="none" w:sz="0" w:space="0" w:color="auto"/>
          </w:divBdr>
        </w:div>
      </w:divsChild>
    </w:div>
    <w:div w:id="118651240">
      <w:bodyDiv w:val="1"/>
      <w:marLeft w:val="0"/>
      <w:marRight w:val="0"/>
      <w:marTop w:val="0"/>
      <w:marBottom w:val="0"/>
      <w:divBdr>
        <w:top w:val="none" w:sz="0" w:space="0" w:color="auto"/>
        <w:left w:val="none" w:sz="0" w:space="0" w:color="auto"/>
        <w:bottom w:val="none" w:sz="0" w:space="0" w:color="auto"/>
        <w:right w:val="none" w:sz="0" w:space="0" w:color="auto"/>
      </w:divBdr>
      <w:divsChild>
        <w:div w:id="1417286501">
          <w:marLeft w:val="0"/>
          <w:marRight w:val="0"/>
          <w:marTop w:val="0"/>
          <w:marBottom w:val="0"/>
          <w:divBdr>
            <w:top w:val="none" w:sz="0" w:space="0" w:color="auto"/>
            <w:left w:val="none" w:sz="0" w:space="0" w:color="auto"/>
            <w:bottom w:val="none" w:sz="0" w:space="0" w:color="auto"/>
            <w:right w:val="none" w:sz="0" w:space="0" w:color="auto"/>
          </w:divBdr>
        </w:div>
      </w:divsChild>
    </w:div>
    <w:div w:id="464470455">
      <w:bodyDiv w:val="1"/>
      <w:marLeft w:val="0"/>
      <w:marRight w:val="0"/>
      <w:marTop w:val="0"/>
      <w:marBottom w:val="0"/>
      <w:divBdr>
        <w:top w:val="none" w:sz="0" w:space="0" w:color="auto"/>
        <w:left w:val="none" w:sz="0" w:space="0" w:color="auto"/>
        <w:bottom w:val="none" w:sz="0" w:space="0" w:color="auto"/>
        <w:right w:val="none" w:sz="0" w:space="0" w:color="auto"/>
      </w:divBdr>
      <w:divsChild>
        <w:div w:id="607931485">
          <w:marLeft w:val="0"/>
          <w:marRight w:val="0"/>
          <w:marTop w:val="0"/>
          <w:marBottom w:val="0"/>
          <w:divBdr>
            <w:top w:val="none" w:sz="0" w:space="0" w:color="auto"/>
            <w:left w:val="none" w:sz="0" w:space="0" w:color="auto"/>
            <w:bottom w:val="none" w:sz="0" w:space="0" w:color="auto"/>
            <w:right w:val="none" w:sz="0" w:space="0" w:color="auto"/>
          </w:divBdr>
        </w:div>
      </w:divsChild>
    </w:div>
    <w:div w:id="705372695">
      <w:bodyDiv w:val="1"/>
      <w:marLeft w:val="0"/>
      <w:marRight w:val="0"/>
      <w:marTop w:val="0"/>
      <w:marBottom w:val="0"/>
      <w:divBdr>
        <w:top w:val="none" w:sz="0" w:space="0" w:color="auto"/>
        <w:left w:val="none" w:sz="0" w:space="0" w:color="auto"/>
        <w:bottom w:val="none" w:sz="0" w:space="0" w:color="auto"/>
        <w:right w:val="none" w:sz="0" w:space="0" w:color="auto"/>
      </w:divBdr>
      <w:divsChild>
        <w:div w:id="2073456012">
          <w:marLeft w:val="0"/>
          <w:marRight w:val="0"/>
          <w:marTop w:val="0"/>
          <w:marBottom w:val="0"/>
          <w:divBdr>
            <w:top w:val="none" w:sz="0" w:space="0" w:color="auto"/>
            <w:left w:val="none" w:sz="0" w:space="0" w:color="auto"/>
            <w:bottom w:val="none" w:sz="0" w:space="0" w:color="auto"/>
            <w:right w:val="none" w:sz="0" w:space="0" w:color="auto"/>
          </w:divBdr>
        </w:div>
      </w:divsChild>
    </w:div>
    <w:div w:id="775751301">
      <w:bodyDiv w:val="1"/>
      <w:marLeft w:val="0"/>
      <w:marRight w:val="0"/>
      <w:marTop w:val="0"/>
      <w:marBottom w:val="0"/>
      <w:divBdr>
        <w:top w:val="none" w:sz="0" w:space="0" w:color="auto"/>
        <w:left w:val="none" w:sz="0" w:space="0" w:color="auto"/>
        <w:bottom w:val="none" w:sz="0" w:space="0" w:color="auto"/>
        <w:right w:val="none" w:sz="0" w:space="0" w:color="auto"/>
      </w:divBdr>
      <w:divsChild>
        <w:div w:id="1767994324">
          <w:marLeft w:val="0"/>
          <w:marRight w:val="0"/>
          <w:marTop w:val="0"/>
          <w:marBottom w:val="0"/>
          <w:divBdr>
            <w:top w:val="none" w:sz="0" w:space="0" w:color="auto"/>
            <w:left w:val="none" w:sz="0" w:space="0" w:color="auto"/>
            <w:bottom w:val="none" w:sz="0" w:space="0" w:color="auto"/>
            <w:right w:val="none" w:sz="0" w:space="0" w:color="auto"/>
          </w:divBdr>
        </w:div>
      </w:divsChild>
    </w:div>
    <w:div w:id="1075249174">
      <w:bodyDiv w:val="1"/>
      <w:marLeft w:val="0"/>
      <w:marRight w:val="0"/>
      <w:marTop w:val="0"/>
      <w:marBottom w:val="0"/>
      <w:divBdr>
        <w:top w:val="none" w:sz="0" w:space="0" w:color="auto"/>
        <w:left w:val="none" w:sz="0" w:space="0" w:color="auto"/>
        <w:bottom w:val="none" w:sz="0" w:space="0" w:color="auto"/>
        <w:right w:val="none" w:sz="0" w:space="0" w:color="auto"/>
      </w:divBdr>
      <w:divsChild>
        <w:div w:id="1120146628">
          <w:marLeft w:val="0"/>
          <w:marRight w:val="0"/>
          <w:marTop w:val="0"/>
          <w:marBottom w:val="0"/>
          <w:divBdr>
            <w:top w:val="none" w:sz="0" w:space="0" w:color="auto"/>
            <w:left w:val="none" w:sz="0" w:space="0" w:color="auto"/>
            <w:bottom w:val="none" w:sz="0" w:space="0" w:color="auto"/>
            <w:right w:val="none" w:sz="0" w:space="0" w:color="auto"/>
          </w:divBdr>
        </w:div>
      </w:divsChild>
    </w:div>
    <w:div w:id="1481922990">
      <w:bodyDiv w:val="1"/>
      <w:marLeft w:val="0"/>
      <w:marRight w:val="0"/>
      <w:marTop w:val="0"/>
      <w:marBottom w:val="0"/>
      <w:divBdr>
        <w:top w:val="none" w:sz="0" w:space="0" w:color="auto"/>
        <w:left w:val="none" w:sz="0" w:space="0" w:color="auto"/>
        <w:bottom w:val="none" w:sz="0" w:space="0" w:color="auto"/>
        <w:right w:val="none" w:sz="0" w:space="0" w:color="auto"/>
      </w:divBdr>
      <w:divsChild>
        <w:div w:id="397365966">
          <w:marLeft w:val="0"/>
          <w:marRight w:val="0"/>
          <w:marTop w:val="0"/>
          <w:marBottom w:val="0"/>
          <w:divBdr>
            <w:top w:val="none" w:sz="0" w:space="0" w:color="auto"/>
            <w:left w:val="none" w:sz="0" w:space="0" w:color="auto"/>
            <w:bottom w:val="none" w:sz="0" w:space="0" w:color="auto"/>
            <w:right w:val="none" w:sz="0" w:space="0" w:color="auto"/>
          </w:divBdr>
        </w:div>
      </w:divsChild>
    </w:div>
    <w:div w:id="2056738521">
      <w:bodyDiv w:val="1"/>
      <w:marLeft w:val="0"/>
      <w:marRight w:val="0"/>
      <w:marTop w:val="0"/>
      <w:marBottom w:val="0"/>
      <w:divBdr>
        <w:top w:val="none" w:sz="0" w:space="0" w:color="auto"/>
        <w:left w:val="none" w:sz="0" w:space="0" w:color="auto"/>
        <w:bottom w:val="none" w:sz="0" w:space="0" w:color="auto"/>
        <w:right w:val="none" w:sz="0" w:space="0" w:color="auto"/>
      </w:divBdr>
      <w:divsChild>
        <w:div w:id="692849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2020-03-16T12:21:00Z</dcterms:created>
  <dcterms:modified xsi:type="dcterms:W3CDTF">2020-03-16T12:21:00Z</dcterms:modified>
</cp:coreProperties>
</file>